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072">
      <w:pPr>
        <w:shd w:val="clear" w:color="auto" w:fill="auto"/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lang w:eastAsia="zh-CN"/>
        </w:rPr>
        <w:t>安徽合力股份有限公司合肥铸锻厂生铁采购项目-2026年第十二批</w:t>
      </w:r>
    </w:p>
    <w:p w14:paraId="47E7660C">
      <w:pPr>
        <w:shd w:val="clear" w:color="auto" w:fill="auto"/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01540B8">
      <w:pPr>
        <w:shd w:val="clear" w:color="auto" w:fill="auto"/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YGCGA-202600147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6D07282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26D27CEC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安徽合力股份有限公司合肥铸锻厂生铁采购项目-2026年第十二批</w:t>
      </w:r>
    </w:p>
    <w:p w14:paraId="777BAA4F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安徽合力股份有限公司合肥铸锻厂</w:t>
      </w:r>
    </w:p>
    <w:p w14:paraId="35E38DC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F65BC9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4F6E29BB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6364DE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安徽合力股份有限公司合肥铸锻厂生铁采购项目-2026年第十二批</w:t>
      </w:r>
    </w:p>
    <w:p w14:paraId="50A51F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YGCGA-202600147</w:t>
      </w:r>
    </w:p>
    <w:p w14:paraId="391A82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1个标包</w:t>
      </w:r>
    </w:p>
    <w:p w14:paraId="0EC22B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招标范围：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安徽合力股份有限公司合肥铸锻厂生铁采购项目-2026年第十二批</w:t>
      </w:r>
      <w:r>
        <w:rPr>
          <w:rFonts w:hint="eastAsia"/>
          <w:color w:val="auto"/>
          <w:sz w:val="24"/>
          <w:highlight w:val="none"/>
          <w:u w:val="none"/>
        </w:rPr>
        <w:t>，</w:t>
      </w:r>
      <w:r>
        <w:rPr>
          <w:color w:val="auto"/>
          <w:kern w:val="0"/>
          <w:sz w:val="24"/>
          <w:highlight w:val="none"/>
          <w:u w:val="none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/>
        </w:rPr>
        <w:t>运输、</w:t>
      </w:r>
      <w:r>
        <w:rPr>
          <w:color w:val="auto"/>
          <w:kern w:val="0"/>
          <w:sz w:val="24"/>
          <w:highlight w:val="none"/>
          <w:u w:val="none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/>
        </w:rPr>
        <w:t>人，</w:t>
      </w:r>
      <w:r>
        <w:rPr>
          <w:color w:val="auto"/>
          <w:sz w:val="24"/>
          <w:highlight w:val="none"/>
          <w:u w:val="none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64B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72F2EA60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495C8725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6EAB997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5FE5041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2C4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9D7C19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CD6A8E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000</w:t>
            </w:r>
          </w:p>
        </w:tc>
        <w:tc>
          <w:tcPr>
            <w:tcW w:w="5139" w:type="dxa"/>
            <w:noWrap w:val="0"/>
            <w:vAlign w:val="center"/>
          </w:tcPr>
          <w:p w14:paraId="5840C3DB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02D99F2F">
            <w:pPr>
              <w:shd w:val="clear" w:color="auto" w:fill="auto"/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2137A31D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3.投标人资格要求</w:t>
      </w:r>
    </w:p>
    <w:p w14:paraId="6C8C3428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1FD7B9FB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081433C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；</w:t>
      </w:r>
    </w:p>
    <w:p w14:paraId="0A36FB0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3.4投标人须具备供应本批次3000吨货物的能力；</w:t>
      </w:r>
    </w:p>
    <w:p w14:paraId="283EDC40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3.5投标人未被人民法院在“信用中国”网站（http://www.creditchina.gov.cn）列入失信被执行人名单；</w:t>
      </w:r>
    </w:p>
    <w:p w14:paraId="21A941DD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。</w:t>
      </w:r>
    </w:p>
    <w:p w14:paraId="611E124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4.招标文件的获取</w:t>
      </w:r>
    </w:p>
    <w:p w14:paraId="43D6BED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21日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5月28日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17:00（北京时间）</w:t>
      </w:r>
    </w:p>
    <w:p w14:paraId="4930D366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68466B32">
      <w:pPr>
        <w:shd w:val="clear" w:color="auto" w:fill="auto"/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5021D61E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5.投标文件的递交</w:t>
      </w:r>
    </w:p>
    <w:p w14:paraId="287A3A96">
      <w:pPr>
        <w:shd w:val="clear" w:color="auto" w:fill="auto"/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6月16日14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</w:rPr>
        <w:t>分（北京时间）</w:t>
      </w:r>
    </w:p>
    <w:p w14:paraId="6CBD3F2C">
      <w:pPr>
        <w:shd w:val="clear" w:color="auto" w:fill="auto"/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投标文件递交地点：递交截止</w:t>
      </w:r>
      <w:bookmarkStart w:id="1" w:name="_GoBack"/>
      <w:bookmarkEnd w:id="1"/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时间之前签章、加密、上传，递交截止时间后上传的投标文件不予接受。</w:t>
      </w:r>
    </w:p>
    <w:p w14:paraId="10297BDF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6.开标时间及地点</w:t>
      </w:r>
    </w:p>
    <w:p w14:paraId="5541B494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1DC6CB5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4E77D87E">
      <w:pPr>
        <w:shd w:val="clear" w:color="auto" w:fill="auto"/>
        <w:spacing w:before="0" w:after="0" w:line="360" w:lineRule="auto"/>
        <w:ind w:firstLine="437"/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724A2C20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7.发布公告的媒介</w:t>
      </w:r>
    </w:p>
    <w:p w14:paraId="57D53F63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74376020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0178BF45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0DE43177">
      <w:pPr>
        <w:shd w:val="clear" w:color="auto" w:fill="auto"/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9D94BF1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8.联系方式</w:t>
      </w:r>
    </w:p>
    <w:p w14:paraId="25D102A8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8.1招标人</w:t>
      </w:r>
    </w:p>
    <w:p w14:paraId="341FD4FF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安徽合力股份有限公司合肥铸锻厂</w:t>
      </w:r>
    </w:p>
    <w:p w14:paraId="79672427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：安徽省合肥市经济技术开发区合掌路98号</w:t>
      </w:r>
    </w:p>
    <w:p w14:paraId="580E6A6A">
      <w:pPr>
        <w:pStyle w:val="8"/>
        <w:shd w:val="clear" w:color="auto" w:fill="auto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黄卫生</w:t>
      </w:r>
    </w:p>
    <w:p w14:paraId="47E0E59B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联系方式：13966651899</w:t>
      </w:r>
    </w:p>
    <w:p w14:paraId="0E50B57D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8.2招标代理机构</w:t>
      </w:r>
    </w:p>
    <w:p w14:paraId="1C300EB1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安徽省阳光采购服务平台有限责任公司</w:t>
      </w:r>
    </w:p>
    <w:p w14:paraId="5D9CCE50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G1栋</w:t>
      </w:r>
    </w:p>
    <w:p w14:paraId="276BC893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工  </w:t>
      </w:r>
    </w:p>
    <w:p w14:paraId="3D87A7AF">
      <w:pPr>
        <w:shd w:val="clear" w:color="auto" w:fill="auto"/>
        <w:spacing w:line="360" w:lineRule="auto"/>
        <w:ind w:left="0" w:leftChars="0" w:firstLine="420" w:firstLineChars="175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18856056499</w:t>
      </w:r>
    </w:p>
    <w:p w14:paraId="4BE40852">
      <w:pPr>
        <w:shd w:val="clear" w:color="auto" w:fill="auto"/>
        <w:spacing w:line="360" w:lineRule="auto"/>
        <w:ind w:left="0" w:leftChars="0" w:firstLine="420" w:firstLineChars="175"/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instrText xml:space="preserve"> HYPERLINK "mailto:1336996377@qq.com" </w:instrTex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separate"/>
      </w:r>
      <w:r>
        <w:rPr>
          <w:rStyle w:val="11"/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616924684@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@qq.com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 w14:paraId="5BB3C889">
      <w:pPr>
        <w:pStyle w:val="7"/>
        <w:shd w:val="clear" w:color="auto" w:fill="auto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E20933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47327F82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565983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7BD627E8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26618E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459104E4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3B861DCB">
      <w:pPr>
        <w:pStyle w:val="2"/>
        <w:shd w:val="clear" w:color="auto" w:fill="auto"/>
        <w:rPr>
          <w:rFonts w:hint="eastAsia"/>
          <w:highlight w:val="none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730E25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4A759D9"/>
    <w:rsid w:val="065C5AB4"/>
    <w:rsid w:val="07FB5013"/>
    <w:rsid w:val="09992BE1"/>
    <w:rsid w:val="0A695F8A"/>
    <w:rsid w:val="0B8608D3"/>
    <w:rsid w:val="10227441"/>
    <w:rsid w:val="11A47A13"/>
    <w:rsid w:val="12EF2E2A"/>
    <w:rsid w:val="1F185B3B"/>
    <w:rsid w:val="265106FE"/>
    <w:rsid w:val="2880556D"/>
    <w:rsid w:val="2A940EF5"/>
    <w:rsid w:val="2E4E5209"/>
    <w:rsid w:val="2F7A4FE9"/>
    <w:rsid w:val="34B46C52"/>
    <w:rsid w:val="3526259A"/>
    <w:rsid w:val="359A79A6"/>
    <w:rsid w:val="39B4680B"/>
    <w:rsid w:val="3A4F7388"/>
    <w:rsid w:val="3C1739FC"/>
    <w:rsid w:val="3EA85BFB"/>
    <w:rsid w:val="4F5270DB"/>
    <w:rsid w:val="587B752A"/>
    <w:rsid w:val="5A1E7CAC"/>
    <w:rsid w:val="5A974A7B"/>
    <w:rsid w:val="5C3D06E5"/>
    <w:rsid w:val="5F5E5329"/>
    <w:rsid w:val="60035851"/>
    <w:rsid w:val="61AE73E9"/>
    <w:rsid w:val="66B33914"/>
    <w:rsid w:val="6EAC4C5F"/>
    <w:rsid w:val="77091498"/>
    <w:rsid w:val="7C717C8E"/>
    <w:rsid w:val="7E14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  <w:style w:type="character" w:styleId="11">
    <w:name w:val="Hyperlink"/>
    <w:basedOn w:val="10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1590</Words>
  <Characters>2034</Characters>
  <Lines>0</Lines>
  <Paragraphs>0</Paragraphs>
  <TotalTime>15</TotalTime>
  <ScaleCrop>false</ScaleCrop>
  <LinksUpToDate>false</LinksUpToDate>
  <CharactersWithSpaces>2045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2025-08-11T02:15:00Z</dcterms:created>
  <dc:creator>86159</dc:creator>
  <cp:lastModifiedBy>王昱琦</cp:lastModifiedBy>
  <dcterms:modified xsi:type="dcterms:W3CDTF">2026-05-18T07:32:22Z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A6C8D06C04D34E43BFF4BC0104E593B3_13</vt:lpwstr>
  </property>
</Properties>
</file>